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23F6B" w14:textId="77777777" w:rsidR="004102A8" w:rsidRPr="0062415C" w:rsidRDefault="004102A8" w:rsidP="00F01C3D">
      <w:pPr>
        <w:pStyle w:val="Ttulo"/>
      </w:pPr>
      <w:r w:rsidRPr="0062415C">
        <w:t xml:space="preserve">PRINCIPIO DNSH. </w:t>
      </w:r>
    </w:p>
    <w:p w14:paraId="0D07C56A" w14:textId="77777777" w:rsidR="004102A8" w:rsidRPr="0062415C" w:rsidRDefault="004102A8" w:rsidP="00F01C3D">
      <w:pPr>
        <w:pStyle w:val="Ttulo"/>
      </w:pPr>
      <w:r w:rsidRPr="0062415C">
        <w:t xml:space="preserve">GUÍA SOBRE LOS DOCUMENTOS QUE EVIDENCIAN SU CUMPLIMIENTO </w:t>
      </w:r>
    </w:p>
    <w:p w14:paraId="25967F36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La presente relación de condicionantes y documentos tiene carácter orientativo y se aplicará de forma proporcionada, atendiendo a la naturaleza, alcance y características del proyecto, así como a la normativa vigente en el momento de su ejecución. </w:t>
      </w:r>
    </w:p>
    <w:p w14:paraId="6B7874AD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En proyectos de reforma o nueva construcción todo lo aquí indicado se considera como cumplimiento normativo básico </w:t>
      </w:r>
    </w:p>
    <w:p w14:paraId="18C086AE" w14:textId="60A7C354" w:rsidR="004102A8" w:rsidRPr="0062415C" w:rsidRDefault="00F01C3D" w:rsidP="00F01C3D">
      <w:pPr>
        <w:pStyle w:val="Ttulo1"/>
      </w:pPr>
      <w:r w:rsidRPr="0062415C">
        <w:t xml:space="preserve">UTILIZACIÓN Y PROTECCIÓN SOSTENIBLE DE LOS RECURSOS HÍDRICOS Y MARINOS - ETIQUETA EUROPEA </w:t>
      </w:r>
    </w:p>
    <w:p w14:paraId="4A3EC17E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Cuando se instalen aparatos que utilicen agua (lavabos, duchas, WC., etc.), estos deberán cumplir con la legislación o normativa europea, nacional, autonómica o local correspondiente, en materia de consumo de agua. </w:t>
      </w:r>
    </w:p>
    <w:p w14:paraId="487244C1" w14:textId="77777777" w:rsidR="004102A8" w:rsidRPr="0062415C" w:rsidRDefault="004102A8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62C46C17" w14:textId="77777777" w:rsidR="004102A8" w:rsidRPr="0062415C" w:rsidRDefault="004102A8" w:rsidP="00F01C3D">
      <w:pPr>
        <w:pStyle w:val="Default"/>
        <w:numPr>
          <w:ilvl w:val="0"/>
          <w:numId w:val="6"/>
        </w:numPr>
        <w:rPr>
          <w:color w:val="auto"/>
        </w:rPr>
      </w:pPr>
      <w:r w:rsidRPr="0062415C">
        <w:rPr>
          <w:color w:val="auto"/>
        </w:rPr>
        <w:t xml:space="preserve">Fichas técnicas de los productos/equipos y/o certificado del director de Obra </w:t>
      </w:r>
    </w:p>
    <w:p w14:paraId="24738F3D" w14:textId="77777777" w:rsidR="004102A8" w:rsidRPr="0062415C" w:rsidRDefault="004102A8" w:rsidP="00F01C3D">
      <w:pPr>
        <w:pStyle w:val="Default"/>
        <w:numPr>
          <w:ilvl w:val="0"/>
          <w:numId w:val="6"/>
        </w:numPr>
        <w:rPr>
          <w:color w:val="auto"/>
        </w:rPr>
      </w:pPr>
      <w:r w:rsidRPr="0062415C">
        <w:rPr>
          <w:color w:val="auto"/>
        </w:rPr>
        <w:t xml:space="preserve">Libro de edificación </w:t>
      </w:r>
    </w:p>
    <w:p w14:paraId="554047DA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El cumplimiento del condicionante se podrá justificar con uno o varios de estos documentos. </w:t>
      </w:r>
    </w:p>
    <w:p w14:paraId="1CC1C098" w14:textId="79D092DD" w:rsidR="004102A8" w:rsidRPr="0062415C" w:rsidRDefault="00F01C3D" w:rsidP="00F01C3D">
      <w:pPr>
        <w:pStyle w:val="Ttulo1"/>
      </w:pPr>
      <w:r w:rsidRPr="0062415C">
        <w:t xml:space="preserve">DIRECTIVAS DEL AGUA </w:t>
      </w:r>
    </w:p>
    <w:p w14:paraId="1A2BEEA8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Para evitar el impacto de la obra, los riesgos de degradación medioambiental relacionados con la preservación de la calidad del agua y la prevención del estrés hídrico se identificarán y abordarán de conformidad con los requisitos de las Directiva 2000/60/CE (Directiva marco del agua), Directiva 2008/56/CE (Directiva marco sobre la estrategia marina) y Directiva 2006/118/CE relativa a la protección de las aguas subterráneas contra la contaminación y el deterioro. </w:t>
      </w:r>
    </w:p>
    <w:p w14:paraId="27BD83B7" w14:textId="77777777" w:rsidR="004102A8" w:rsidRPr="0062415C" w:rsidRDefault="004102A8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2C72C7D1" w14:textId="77777777" w:rsidR="004102A8" w:rsidRPr="0062415C" w:rsidRDefault="004102A8" w:rsidP="00F01C3D">
      <w:pPr>
        <w:pStyle w:val="Default"/>
        <w:numPr>
          <w:ilvl w:val="0"/>
          <w:numId w:val="7"/>
        </w:numPr>
        <w:rPr>
          <w:color w:val="auto"/>
        </w:rPr>
      </w:pPr>
      <w:r w:rsidRPr="0062415C">
        <w:rPr>
          <w:color w:val="auto"/>
        </w:rPr>
        <w:t xml:space="preserve">Disponer de concesión o autorización por parte del organismo de cuenca para realizar actuaciones en el dominio público hidráulico, cuando sean exigibles de acuerdo con la normativa de aplicación </w:t>
      </w:r>
    </w:p>
    <w:p w14:paraId="4A686994" w14:textId="77777777" w:rsidR="004102A8" w:rsidRPr="0062415C" w:rsidRDefault="004102A8" w:rsidP="00F01C3D">
      <w:pPr>
        <w:pStyle w:val="Default"/>
        <w:numPr>
          <w:ilvl w:val="0"/>
          <w:numId w:val="7"/>
        </w:numPr>
        <w:rPr>
          <w:color w:val="auto"/>
        </w:rPr>
      </w:pPr>
      <w:r w:rsidRPr="0062415C">
        <w:rPr>
          <w:color w:val="auto"/>
        </w:rPr>
        <w:t xml:space="preserve">Licencia ambiental o documento equivalente por parte del ayuntamiento o informe favorable de compatibilidad con el plan hidrológico del organismo de cuenca </w:t>
      </w:r>
    </w:p>
    <w:p w14:paraId="015BB403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El cumplimiento del condicionante se podrá justificar con uno o varios de los documentos propuestos. </w:t>
      </w:r>
    </w:p>
    <w:p w14:paraId="361589BE" w14:textId="77777777" w:rsidR="004102A8" w:rsidRPr="0062415C" w:rsidRDefault="004102A8" w:rsidP="00F01C3D">
      <w:pPr>
        <w:pStyle w:val="Default"/>
        <w:rPr>
          <w:color w:val="auto"/>
        </w:rPr>
      </w:pPr>
    </w:p>
    <w:p w14:paraId="73520FC5" w14:textId="4754684D" w:rsidR="004102A8" w:rsidRPr="0062415C" w:rsidRDefault="00F01C3D" w:rsidP="00F01C3D">
      <w:pPr>
        <w:pStyle w:val="Ttulo1"/>
      </w:pPr>
      <w:r w:rsidRPr="0062415C">
        <w:lastRenderedPageBreak/>
        <w:t xml:space="preserve">ECONOMÍA CIRCULAR, RESIDUOS DE CONSTRUCCIÓN Y DEMOLICIÓN </w:t>
      </w:r>
    </w:p>
    <w:p w14:paraId="17CD927E" w14:textId="77777777" w:rsidR="004102A8" w:rsidRPr="0062415C" w:rsidRDefault="004102A8" w:rsidP="00F01C3D">
      <w:pPr>
        <w:pStyle w:val="Default"/>
        <w:rPr>
          <w:color w:val="auto"/>
          <w:sz w:val="18"/>
          <w:szCs w:val="18"/>
        </w:rPr>
      </w:pPr>
      <w:r w:rsidRPr="0062415C">
        <w:rPr>
          <w:color w:val="auto"/>
        </w:rPr>
        <w:t xml:space="preserve">Para la gestión de residuos de construcción y demolición se aplicarán las disposiciones establecidas en el RD 105/2008, de 1 de febrero, sobre producción y gestión de RCD. </w:t>
      </w:r>
      <w:r w:rsidRPr="0062415C">
        <w:rPr>
          <w:color w:val="auto"/>
          <w:sz w:val="18"/>
          <w:szCs w:val="18"/>
        </w:rPr>
        <w:t xml:space="preserve">2 | 2 </w:t>
      </w:r>
    </w:p>
    <w:p w14:paraId="0B1B3231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Para el resto de los residuos se aplicará lo dispuesto en le Ley 7/2022, de 8 de abril, de residuos y suelos contaminados. </w:t>
      </w:r>
    </w:p>
    <w:p w14:paraId="0309B034" w14:textId="77777777" w:rsidR="004102A8" w:rsidRPr="0062415C" w:rsidRDefault="004102A8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25B97C61" w14:textId="77777777" w:rsidR="004102A8" w:rsidRPr="0062415C" w:rsidRDefault="004102A8" w:rsidP="00F01C3D">
      <w:pPr>
        <w:pStyle w:val="Default"/>
        <w:numPr>
          <w:ilvl w:val="0"/>
          <w:numId w:val="8"/>
        </w:numPr>
        <w:rPr>
          <w:color w:val="auto"/>
        </w:rPr>
      </w:pPr>
      <w:r w:rsidRPr="0062415C">
        <w:rPr>
          <w:color w:val="auto"/>
        </w:rPr>
        <w:t xml:space="preserve">Estudio de gestión de residuos, </w:t>
      </w:r>
    </w:p>
    <w:p w14:paraId="57E565A3" w14:textId="77777777" w:rsidR="004102A8" w:rsidRPr="0062415C" w:rsidRDefault="004102A8" w:rsidP="00F01C3D">
      <w:pPr>
        <w:pStyle w:val="Default"/>
        <w:numPr>
          <w:ilvl w:val="0"/>
          <w:numId w:val="8"/>
        </w:numPr>
        <w:rPr>
          <w:color w:val="auto"/>
        </w:rPr>
      </w:pPr>
      <w:r w:rsidRPr="0062415C">
        <w:rPr>
          <w:color w:val="auto"/>
        </w:rPr>
        <w:t xml:space="preserve">Plan de gestión de residuos de construcción y demolición, </w:t>
      </w:r>
    </w:p>
    <w:p w14:paraId="16790B3D" w14:textId="77777777" w:rsidR="004102A8" w:rsidRPr="0062415C" w:rsidRDefault="004102A8" w:rsidP="00F01C3D">
      <w:pPr>
        <w:pStyle w:val="Default"/>
        <w:numPr>
          <w:ilvl w:val="0"/>
          <w:numId w:val="8"/>
        </w:numPr>
        <w:rPr>
          <w:color w:val="auto"/>
        </w:rPr>
      </w:pPr>
      <w:r w:rsidRPr="0062415C">
        <w:rPr>
          <w:color w:val="auto"/>
        </w:rPr>
        <w:t xml:space="preserve">Documento de traslado de residuos, </w:t>
      </w:r>
    </w:p>
    <w:p w14:paraId="3CB0E1A7" w14:textId="77777777" w:rsidR="004102A8" w:rsidRPr="0062415C" w:rsidRDefault="004102A8" w:rsidP="00F01C3D">
      <w:pPr>
        <w:pStyle w:val="Default"/>
        <w:numPr>
          <w:ilvl w:val="0"/>
          <w:numId w:val="8"/>
        </w:numPr>
        <w:rPr>
          <w:color w:val="auto"/>
        </w:rPr>
      </w:pPr>
      <w:r w:rsidRPr="0062415C">
        <w:rPr>
          <w:color w:val="auto"/>
        </w:rPr>
        <w:t xml:space="preserve">Certificado del director de la obra del cumplimiento del objetivo de transición a una economía circular, </w:t>
      </w:r>
    </w:p>
    <w:p w14:paraId="68CD89E0" w14:textId="77777777" w:rsidR="004102A8" w:rsidRPr="0062415C" w:rsidRDefault="004102A8" w:rsidP="00F01C3D">
      <w:pPr>
        <w:pStyle w:val="Default"/>
        <w:numPr>
          <w:ilvl w:val="0"/>
          <w:numId w:val="8"/>
        </w:numPr>
        <w:rPr>
          <w:color w:val="auto"/>
        </w:rPr>
      </w:pPr>
      <w:r w:rsidRPr="0062415C">
        <w:rPr>
          <w:color w:val="auto"/>
        </w:rPr>
        <w:t xml:space="preserve">Certificados de gestión de residuos de construcción y demolición con destino a la reutilización, expedidos por los gestores de destino, como justificación de la entrega, incluyendo los códigos del listado europeo (LER) y el porcentaje de valorización alcanzado. </w:t>
      </w:r>
    </w:p>
    <w:p w14:paraId="1E7BD298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Dependiendo de lo establecido en la propia DAE si la tuviera y de la propia envergadura de la obra, el cumplimiento del condicionante se podrá justificar con uno o varios de los documentos propuestos, según sea aplicable o no. </w:t>
      </w:r>
    </w:p>
    <w:p w14:paraId="04C43187" w14:textId="736328E1" w:rsidR="00F01C3D" w:rsidRPr="0062415C" w:rsidRDefault="00F01C3D" w:rsidP="00F01C3D">
      <w:pPr>
        <w:pStyle w:val="Ttulo1"/>
      </w:pPr>
      <w:r w:rsidRPr="0062415C">
        <w:t>PREVENCIÓN Y CONTROL DE LA CONTAMINACIÓN</w:t>
      </w:r>
    </w:p>
    <w:p w14:paraId="4334C927" w14:textId="4C5C1CA8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Adopción de medidas que reduzcan el ruido, el polvo y las emisiones contaminantes durante la fase de obra, de conformidad con lo dispuesto en la normativa vigente en materia de contaminación de suelos y agua. </w:t>
      </w:r>
    </w:p>
    <w:p w14:paraId="6D2E6178" w14:textId="77777777" w:rsidR="004102A8" w:rsidRPr="0062415C" w:rsidRDefault="004102A8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655F544D" w14:textId="77777777" w:rsidR="004102A8" w:rsidRPr="0062415C" w:rsidRDefault="004102A8" w:rsidP="00F01C3D">
      <w:pPr>
        <w:pStyle w:val="Default"/>
        <w:numPr>
          <w:ilvl w:val="0"/>
          <w:numId w:val="9"/>
        </w:numPr>
        <w:rPr>
          <w:color w:val="auto"/>
        </w:rPr>
      </w:pPr>
      <w:r w:rsidRPr="0062415C">
        <w:rPr>
          <w:color w:val="auto"/>
        </w:rPr>
        <w:t xml:space="preserve">Certificado del director de obra </w:t>
      </w:r>
    </w:p>
    <w:p w14:paraId="1531E857" w14:textId="77777777" w:rsidR="004102A8" w:rsidRPr="0062415C" w:rsidRDefault="004102A8" w:rsidP="00F01C3D">
      <w:pPr>
        <w:pStyle w:val="Default"/>
        <w:numPr>
          <w:ilvl w:val="0"/>
          <w:numId w:val="9"/>
        </w:numPr>
        <w:rPr>
          <w:color w:val="auto"/>
        </w:rPr>
      </w:pPr>
      <w:r w:rsidRPr="0062415C">
        <w:rPr>
          <w:color w:val="auto"/>
        </w:rPr>
        <w:t xml:space="preserve">Licencia ambiental o documento equivalente por parte del órgano ambiental </w:t>
      </w:r>
    </w:p>
    <w:p w14:paraId="36AB0754" w14:textId="77777777" w:rsidR="004102A8" w:rsidRPr="0062415C" w:rsidRDefault="004102A8" w:rsidP="00F01C3D">
      <w:pPr>
        <w:pStyle w:val="Default"/>
        <w:numPr>
          <w:ilvl w:val="0"/>
          <w:numId w:val="9"/>
        </w:numPr>
        <w:rPr>
          <w:color w:val="auto"/>
        </w:rPr>
      </w:pPr>
      <w:r w:rsidRPr="0062415C">
        <w:rPr>
          <w:color w:val="auto"/>
        </w:rPr>
        <w:t xml:space="preserve">Plan de vigilancia ambiental, </w:t>
      </w:r>
    </w:p>
    <w:p w14:paraId="5A45046B" w14:textId="77777777" w:rsidR="004102A8" w:rsidRPr="0062415C" w:rsidRDefault="004102A8" w:rsidP="00F01C3D">
      <w:pPr>
        <w:pStyle w:val="Default"/>
        <w:numPr>
          <w:ilvl w:val="0"/>
          <w:numId w:val="9"/>
        </w:numPr>
        <w:rPr>
          <w:color w:val="auto"/>
        </w:rPr>
      </w:pPr>
      <w:r w:rsidRPr="0062415C">
        <w:rPr>
          <w:color w:val="auto"/>
        </w:rPr>
        <w:t xml:space="preserve">Informes de seguimiento ambiental de las obras </w:t>
      </w:r>
    </w:p>
    <w:p w14:paraId="24C77416" w14:textId="77777777" w:rsidR="004102A8" w:rsidRPr="0062415C" w:rsidRDefault="004102A8" w:rsidP="00F01C3D">
      <w:pPr>
        <w:pStyle w:val="Default"/>
        <w:numPr>
          <w:ilvl w:val="0"/>
          <w:numId w:val="9"/>
        </w:numPr>
        <w:rPr>
          <w:color w:val="auto"/>
        </w:rPr>
      </w:pPr>
      <w:r w:rsidRPr="0062415C">
        <w:rPr>
          <w:color w:val="auto"/>
        </w:rPr>
        <w:t xml:space="preserve">Cláusulas de los pliegos de prescripciones particulares y registros de control y seguimiento </w:t>
      </w:r>
    </w:p>
    <w:p w14:paraId="7CF824E9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Dependiendo de la envergadura de la obra el cumplimiento del condicionante se podrá justificar con uno o varios de los documentos propuestos, según sea aplicable o no. </w:t>
      </w:r>
    </w:p>
    <w:p w14:paraId="56ACECA3" w14:textId="77777777" w:rsidR="004102A8" w:rsidRPr="0062415C" w:rsidRDefault="004102A8" w:rsidP="00F01C3D">
      <w:pPr>
        <w:pStyle w:val="Default"/>
        <w:rPr>
          <w:color w:val="auto"/>
        </w:rPr>
      </w:pPr>
    </w:p>
    <w:p w14:paraId="42FF1BEE" w14:textId="20022549" w:rsidR="004102A8" w:rsidRPr="0062415C" w:rsidRDefault="00F01C3D" w:rsidP="00F01C3D">
      <w:pPr>
        <w:pStyle w:val="Ttulo1"/>
      </w:pPr>
      <w:r w:rsidRPr="0062415C">
        <w:lastRenderedPageBreak/>
        <w:t xml:space="preserve">PREVENCIÓN Y EL CONTROL DE LA CONTAMINACIÓN – SUSTANCIAS TÓXICAS </w:t>
      </w:r>
    </w:p>
    <w:p w14:paraId="46129C91" w14:textId="77777777" w:rsidR="004102A8" w:rsidRPr="0062415C" w:rsidRDefault="004102A8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Los componentes y materiales de construcción utilizados en el desarrollo de las actuaciones previstas no contendrán amianto ni sustancias tóxicas identificadas a partir de la lista de sustancias sujetas a autorización que figura en el anexo XIV del Reglamento (CE) 1907/2006. </w:t>
      </w:r>
    </w:p>
    <w:p w14:paraId="530D3E31" w14:textId="77777777" w:rsidR="004102A8" w:rsidRPr="0062415C" w:rsidRDefault="004102A8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2FD2D5E8" w14:textId="77777777" w:rsidR="004102A8" w:rsidRPr="0062415C" w:rsidRDefault="004102A8" w:rsidP="00F01C3D">
      <w:pPr>
        <w:pStyle w:val="Default"/>
        <w:numPr>
          <w:ilvl w:val="0"/>
          <w:numId w:val="10"/>
        </w:numPr>
        <w:rPr>
          <w:color w:val="auto"/>
        </w:rPr>
      </w:pPr>
      <w:r w:rsidRPr="0062415C">
        <w:rPr>
          <w:color w:val="auto"/>
        </w:rPr>
        <w:t xml:space="preserve">Pliegos de prescripciones técnicas </w:t>
      </w:r>
    </w:p>
    <w:p w14:paraId="4664E7E4" w14:textId="77777777" w:rsidR="004102A8" w:rsidRPr="0062415C" w:rsidRDefault="004102A8" w:rsidP="00F01C3D">
      <w:pPr>
        <w:pStyle w:val="Default"/>
        <w:numPr>
          <w:ilvl w:val="0"/>
          <w:numId w:val="10"/>
        </w:numPr>
        <w:rPr>
          <w:color w:val="auto"/>
        </w:rPr>
      </w:pPr>
      <w:r w:rsidRPr="0062415C">
        <w:rPr>
          <w:color w:val="auto"/>
        </w:rPr>
        <w:t xml:space="preserve">Certificado del contratista </w:t>
      </w:r>
    </w:p>
    <w:p w14:paraId="28210207" w14:textId="77777777" w:rsidR="004102A8" w:rsidRPr="0062415C" w:rsidRDefault="004102A8" w:rsidP="00F01C3D">
      <w:pPr>
        <w:pStyle w:val="Default"/>
        <w:numPr>
          <w:ilvl w:val="0"/>
          <w:numId w:val="10"/>
        </w:numPr>
        <w:rPr>
          <w:color w:val="auto"/>
        </w:rPr>
      </w:pPr>
      <w:r w:rsidRPr="0062415C">
        <w:rPr>
          <w:color w:val="auto"/>
        </w:rPr>
        <w:t xml:space="preserve">Fichas de producto de los materiales utilizados </w:t>
      </w:r>
    </w:p>
    <w:p w14:paraId="1557851C" w14:textId="77777777" w:rsidR="004102A8" w:rsidRPr="0062415C" w:rsidRDefault="004102A8" w:rsidP="00F01C3D">
      <w:pPr>
        <w:pStyle w:val="Default"/>
        <w:numPr>
          <w:ilvl w:val="0"/>
          <w:numId w:val="10"/>
        </w:numPr>
        <w:rPr>
          <w:color w:val="auto"/>
        </w:rPr>
      </w:pPr>
      <w:r w:rsidRPr="0062415C">
        <w:rPr>
          <w:color w:val="auto"/>
        </w:rPr>
        <w:t xml:space="preserve">Certificado expedido por la empresa contratista </w:t>
      </w:r>
    </w:p>
    <w:p w14:paraId="1009439F" w14:textId="77777777" w:rsidR="005621E8" w:rsidRPr="0062415C" w:rsidRDefault="004102A8" w:rsidP="004102A8">
      <w:pPr>
        <w:rPr>
          <w:rFonts w:asciiTheme="majorHAnsi" w:hAnsiTheme="majorHAnsi" w:cstheme="majorHAnsi"/>
        </w:rPr>
      </w:pPr>
      <w:r w:rsidRPr="0062415C">
        <w:rPr>
          <w:rFonts w:asciiTheme="majorHAnsi" w:hAnsiTheme="majorHAnsi" w:cstheme="majorHAnsi"/>
        </w:rPr>
        <w:t>El cumplimiento del justificante se podrá justificar con uno o varios de los documentos propuestos como ejemplo</w:t>
      </w:r>
    </w:p>
    <w:p w14:paraId="5D1A1998" w14:textId="22F1B110" w:rsidR="009A3F17" w:rsidRPr="0062415C" w:rsidRDefault="00F01C3D" w:rsidP="00F01C3D">
      <w:pPr>
        <w:pStyle w:val="Ttulo1"/>
      </w:pPr>
      <w:r w:rsidRPr="0062415C">
        <w:t>PROTECCIÓN DE LA BIODIVERSIDAD Y LOS ECOSISTEMAS</w:t>
      </w:r>
    </w:p>
    <w:p w14:paraId="45777385" w14:textId="77777777" w:rsidR="009A3F17" w:rsidRPr="0062415C" w:rsidRDefault="009A3F17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Se asegurará que las instalaciones no afectarán negativamente a las buenas condiciones y la resiliencia de los ecosistemas, tampoco al estado de conservación de los hábitats y las especies, en particular los espacios de interés de la Unión (incluida la Red Natura 2000 de áreas protegidas, sitios del Patrimonio Mundial de la Unesco y otras áreas protegidas). </w:t>
      </w:r>
    </w:p>
    <w:p w14:paraId="1297815F" w14:textId="77777777" w:rsidR="009A3F17" w:rsidRPr="0062415C" w:rsidRDefault="009A3F17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Por ello, en los casos en los que sea necesario, se asegurará el cumplimiento de lo dispuesto en la </w:t>
      </w:r>
      <w:r w:rsidRPr="0062415C">
        <w:rPr>
          <w:b/>
          <w:bCs/>
          <w:color w:val="auto"/>
        </w:rPr>
        <w:t>Ley 21/2013 en lo relativo a evaluación de impacto ambienta</w:t>
      </w:r>
      <w:r w:rsidRPr="0062415C">
        <w:rPr>
          <w:color w:val="auto"/>
        </w:rPr>
        <w:t xml:space="preserve">l y en la Ley 9/2018, de 5 de diciembre, por la que se modifica la Ley 21/2013. Así mismo, se impulsará el cumplimiento de lo establecido en la Directiva 92/43/CEE del Consejo, de 21 de mayo de 1992, relativa a la conservación de los hábitats naturales y de la fauna y flora silvestres, traspuesta al ordenamiento jurídico español por el </w:t>
      </w:r>
      <w:r w:rsidRPr="0062415C">
        <w:rPr>
          <w:b/>
          <w:bCs/>
          <w:color w:val="auto"/>
        </w:rPr>
        <w:t>R.D. 1997/1995</w:t>
      </w:r>
      <w:r w:rsidRPr="0062415C">
        <w:rPr>
          <w:color w:val="auto"/>
        </w:rPr>
        <w:t xml:space="preserve">, en la Directiva 2009/147/CE del Parlamento Europeo y del Consejo, de 30 de noviembre de 2009, relativa a la conservación de las aves silvestres, y en la </w:t>
      </w:r>
      <w:r w:rsidRPr="0062415C">
        <w:rPr>
          <w:b/>
          <w:bCs/>
          <w:color w:val="auto"/>
        </w:rPr>
        <w:t>Ley 42/2007</w:t>
      </w:r>
      <w:r w:rsidRPr="0062415C">
        <w:rPr>
          <w:color w:val="auto"/>
        </w:rPr>
        <w:t xml:space="preserve">, del Patrimonio Natural y de la Biodiversidad </w:t>
      </w:r>
    </w:p>
    <w:p w14:paraId="27C05F66" w14:textId="77777777" w:rsidR="009A3F17" w:rsidRPr="0062415C" w:rsidRDefault="009A3F17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3E0E7A76" w14:textId="77777777" w:rsidR="009A3F17" w:rsidRPr="0062415C" w:rsidRDefault="009A3F17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 xml:space="preserve">Declaración responsable del órgano que autoriza el proyecto de haber verificado la imposibilidad de afección apreciable a Natura 2000. </w:t>
      </w:r>
    </w:p>
    <w:p w14:paraId="4C7CC640" w14:textId="77777777" w:rsidR="006E2C2C" w:rsidRPr="0062415C" w:rsidRDefault="006E2C2C" w:rsidP="00F01C3D">
      <w:pPr>
        <w:pStyle w:val="Default"/>
        <w:rPr>
          <w:color w:val="auto"/>
        </w:rPr>
      </w:pPr>
    </w:p>
    <w:p w14:paraId="69CE66BB" w14:textId="77777777" w:rsidR="006E2C2C" w:rsidRPr="0062415C" w:rsidRDefault="006E2C2C" w:rsidP="00F01C3D">
      <w:pPr>
        <w:pStyle w:val="Default"/>
        <w:rPr>
          <w:color w:val="auto"/>
        </w:rPr>
      </w:pPr>
    </w:p>
    <w:p w14:paraId="23A750AB" w14:textId="77777777" w:rsidR="00F01C3D" w:rsidRPr="0062415C" w:rsidRDefault="00F01C3D">
      <w:pPr>
        <w:rPr>
          <w:rFonts w:asciiTheme="majorHAnsi" w:eastAsiaTheme="majorEastAsia" w:hAnsiTheme="majorHAnsi" w:cstheme="majorHAnsi"/>
          <w:b/>
          <w:bCs/>
          <w:sz w:val="24"/>
          <w:szCs w:val="24"/>
        </w:rPr>
      </w:pPr>
      <w:r w:rsidRPr="0062415C">
        <w:br w:type="page"/>
      </w:r>
    </w:p>
    <w:p w14:paraId="2E47F9D6" w14:textId="44E516C5" w:rsidR="006E2C2C" w:rsidRPr="0062415C" w:rsidRDefault="00F01C3D" w:rsidP="00F01C3D">
      <w:pPr>
        <w:pStyle w:val="Ttulo1"/>
      </w:pPr>
      <w:r w:rsidRPr="0062415C">
        <w:lastRenderedPageBreak/>
        <w:t>APARTADO CENTROS DE DATOS Y BANDA ANCHA Y REDES 5G</w:t>
      </w:r>
    </w:p>
    <w:p w14:paraId="3E8F3548" w14:textId="77777777" w:rsidR="00F01C3D" w:rsidRPr="0062415C" w:rsidRDefault="00F01C3D" w:rsidP="00F01C3D">
      <w:pPr>
        <w:pStyle w:val="Ttulo2"/>
      </w:pPr>
      <w:r w:rsidRPr="0062415C">
        <w:t>Infraestructuras en Banda ancha y redes 5G</w:t>
      </w:r>
    </w:p>
    <w:p w14:paraId="16FBD39D" w14:textId="77777777" w:rsidR="00F01C3D" w:rsidRPr="0062415C" w:rsidRDefault="00F01C3D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Se incluirá como requisito de implementación de las actuaciones que: </w:t>
      </w:r>
    </w:p>
    <w:p w14:paraId="3F1CA575" w14:textId="5439ABF6" w:rsidR="00F01C3D" w:rsidRPr="0062415C" w:rsidRDefault="00F01C3D" w:rsidP="00F01C3D">
      <w:pPr>
        <w:pStyle w:val="Default"/>
        <w:numPr>
          <w:ilvl w:val="0"/>
          <w:numId w:val="15"/>
        </w:numPr>
        <w:rPr>
          <w:color w:val="auto"/>
        </w:rPr>
      </w:pPr>
      <w:r w:rsidRPr="0062415C">
        <w:rPr>
          <w:color w:val="auto"/>
        </w:rPr>
        <w:t xml:space="preserve">Los fabricantes de los equipos y componentes adquiridos en el marco de la actuación, el operador de la red y/o el proveedor de los servicios de red </w:t>
      </w:r>
      <w:r w:rsidRPr="0062415C">
        <w:rPr>
          <w:b/>
          <w:bCs/>
          <w:color w:val="auto"/>
        </w:rPr>
        <w:t xml:space="preserve">se han adherido al Código de conducta europeo </w:t>
      </w:r>
      <w:r w:rsidRPr="0062415C">
        <w:rPr>
          <w:color w:val="auto"/>
        </w:rPr>
        <w:t xml:space="preserve">sobre consumo energético de equipos de banda ancha; </w:t>
      </w:r>
    </w:p>
    <w:p w14:paraId="49043D8A" w14:textId="1A891970" w:rsidR="00F01C3D" w:rsidRPr="0062415C" w:rsidRDefault="00F01C3D" w:rsidP="00F01C3D">
      <w:pPr>
        <w:pStyle w:val="Default"/>
        <w:numPr>
          <w:ilvl w:val="0"/>
          <w:numId w:val="15"/>
        </w:numPr>
        <w:rPr>
          <w:color w:val="auto"/>
        </w:rPr>
      </w:pPr>
      <w:r w:rsidRPr="0062415C">
        <w:rPr>
          <w:color w:val="auto"/>
        </w:rPr>
        <w:t xml:space="preserve">Los equipos IT que se adquieren para el desarrollo de la actuación han sido fabricados </w:t>
      </w:r>
      <w:r w:rsidRPr="0062415C">
        <w:rPr>
          <w:b/>
          <w:bCs/>
          <w:color w:val="auto"/>
        </w:rPr>
        <w:t>cumpliendo con toda la legislación nacional y europea</w:t>
      </w:r>
      <w:r w:rsidRPr="0062415C">
        <w:rPr>
          <w:color w:val="auto"/>
        </w:rPr>
        <w:t xml:space="preserve">, especialmente con los reglamentos derivados de la Directiva 2009/125/CE en los que se establecen los requisitos de diseño ecológico aplicables al equipo. - O el beneficiario demuestra que realiza los </w:t>
      </w:r>
      <w:r w:rsidRPr="0062415C">
        <w:rPr>
          <w:b/>
          <w:bCs/>
          <w:color w:val="auto"/>
        </w:rPr>
        <w:t xml:space="preserve">mayores esfuerzos para implementar prácticas relevantes sobre eficiencia energética </w:t>
      </w:r>
      <w:r w:rsidRPr="0062415C">
        <w:rPr>
          <w:color w:val="auto"/>
        </w:rPr>
        <w:t xml:space="preserve">en los equipos e instalaciones. </w:t>
      </w:r>
    </w:p>
    <w:p w14:paraId="685F96C8" w14:textId="77777777" w:rsidR="00F01C3D" w:rsidRPr="0062415C" w:rsidRDefault="00F01C3D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>Documentos justificativos:</w:t>
      </w:r>
    </w:p>
    <w:p w14:paraId="488FF12A" w14:textId="77777777" w:rsidR="00F01C3D" w:rsidRPr="0062415C" w:rsidRDefault="00F01C3D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>Documento de adhesión al Código de conducta europeo sobre consumo energético de equipos de banda ancha expedido por el fabricante de equipos o el operador de servicio</w:t>
      </w:r>
    </w:p>
    <w:p w14:paraId="55183EE4" w14:textId="77777777" w:rsidR="00F01C3D" w:rsidRPr="0062415C" w:rsidRDefault="00F01C3D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>Marcado de equipos en materia de eficiencia energética</w:t>
      </w:r>
    </w:p>
    <w:p w14:paraId="70143799" w14:textId="77777777" w:rsidR="00F01C3D" w:rsidRPr="0062415C" w:rsidRDefault="00F01C3D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 xml:space="preserve">Certificado de eficiencia energética </w:t>
      </w:r>
    </w:p>
    <w:p w14:paraId="3F67D538" w14:textId="77777777" w:rsidR="00F01C3D" w:rsidRPr="0062415C" w:rsidRDefault="00F01C3D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>Informe sobre implementación de mejores prácticas en materia de eficiencia energética</w:t>
      </w:r>
    </w:p>
    <w:p w14:paraId="73A44CCE" w14:textId="77777777" w:rsidR="00F01C3D" w:rsidRPr="0062415C" w:rsidRDefault="00F01C3D" w:rsidP="00F01C3D">
      <w:pPr>
        <w:pStyle w:val="Default"/>
        <w:numPr>
          <w:ilvl w:val="0"/>
          <w:numId w:val="11"/>
        </w:numPr>
        <w:rPr>
          <w:color w:val="auto"/>
        </w:rPr>
      </w:pPr>
      <w:r w:rsidRPr="0062415C">
        <w:rPr>
          <w:color w:val="auto"/>
        </w:rPr>
        <w:t>Documentación técnica de los equipos</w:t>
      </w:r>
    </w:p>
    <w:p w14:paraId="3DCF935A" w14:textId="77777777" w:rsidR="00F01C3D" w:rsidRPr="0062415C" w:rsidRDefault="00F01C3D" w:rsidP="00F01C3D">
      <w:pPr>
        <w:pStyle w:val="Ttulo2"/>
      </w:pPr>
      <w:r w:rsidRPr="0062415C">
        <w:t>Infraestructuras de Centros de datos.</w:t>
      </w:r>
    </w:p>
    <w:p w14:paraId="637E7D6E" w14:textId="5C518105" w:rsidR="00F01C3D" w:rsidRPr="0062415C" w:rsidRDefault="00F01C3D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Se incluirá como requisito de implementación de las actuaciones que: </w:t>
      </w:r>
    </w:p>
    <w:p w14:paraId="069EC074" w14:textId="4C28FA3B" w:rsidR="00F01C3D" w:rsidRPr="0062415C" w:rsidRDefault="00F01C3D" w:rsidP="00F01C3D">
      <w:pPr>
        <w:pStyle w:val="Default"/>
        <w:numPr>
          <w:ilvl w:val="0"/>
          <w:numId w:val="17"/>
        </w:numPr>
        <w:rPr>
          <w:color w:val="auto"/>
        </w:rPr>
      </w:pPr>
      <w:r w:rsidRPr="0062415C">
        <w:rPr>
          <w:color w:val="auto"/>
        </w:rPr>
        <w:t xml:space="preserve">Los fabricantes de los equipos y componentes adquiridos en el marco de la </w:t>
      </w:r>
      <w:proofErr w:type="gramStart"/>
      <w:r w:rsidRPr="0062415C">
        <w:rPr>
          <w:color w:val="auto"/>
        </w:rPr>
        <w:t>actuación,</w:t>
      </w:r>
      <w:proofErr w:type="gramEnd"/>
      <w:r w:rsidRPr="0062415C">
        <w:rPr>
          <w:color w:val="auto"/>
        </w:rPr>
        <w:t xml:space="preserve"> seguirán la versión más reciente del </w:t>
      </w:r>
      <w:r w:rsidRPr="0062415C">
        <w:rPr>
          <w:b/>
          <w:bCs/>
          <w:color w:val="auto"/>
        </w:rPr>
        <w:t xml:space="preserve">Código de conducta europeo sobre eficiencia energética de centros de datos, o el documento CEN-CENELEC CLC TR50600-99-1 </w:t>
      </w:r>
      <w:r w:rsidRPr="0062415C">
        <w:rPr>
          <w:color w:val="auto"/>
        </w:rPr>
        <w:t xml:space="preserve">"Instalaciones e infraestructuras de centros de datos - Parte 99-1: Prácticas recomendadas para la gestión energética”. </w:t>
      </w:r>
    </w:p>
    <w:p w14:paraId="69FEEA09" w14:textId="77777777" w:rsidR="00F01C3D" w:rsidRPr="0062415C" w:rsidRDefault="00F01C3D" w:rsidP="00F01C3D">
      <w:pPr>
        <w:pStyle w:val="Default"/>
        <w:numPr>
          <w:ilvl w:val="0"/>
          <w:numId w:val="17"/>
        </w:numPr>
        <w:rPr>
          <w:color w:val="auto"/>
        </w:rPr>
      </w:pPr>
      <w:r w:rsidRPr="0062415C">
        <w:rPr>
          <w:color w:val="auto"/>
        </w:rPr>
        <w:t xml:space="preserve">Los equipos IT que se adquieren para el desarrollo de la actuación han sido fabricados </w:t>
      </w:r>
      <w:r w:rsidRPr="0062415C">
        <w:rPr>
          <w:b/>
          <w:bCs/>
          <w:color w:val="auto"/>
        </w:rPr>
        <w:t>cumpliendo con toda la legislación nacional y europea</w:t>
      </w:r>
      <w:r w:rsidRPr="0062415C">
        <w:rPr>
          <w:color w:val="auto"/>
        </w:rPr>
        <w:t>, especialmente con los reglamentos derivados de la Directiva 2009/125/CE en los que se establecen los requisitos de diseño ecológico aplicables al equipo.</w:t>
      </w:r>
    </w:p>
    <w:p w14:paraId="70A5112D" w14:textId="00FC4C11" w:rsidR="00F01C3D" w:rsidRPr="0062415C" w:rsidRDefault="00F01C3D" w:rsidP="00F01C3D">
      <w:pPr>
        <w:pStyle w:val="Default"/>
        <w:numPr>
          <w:ilvl w:val="0"/>
          <w:numId w:val="17"/>
        </w:numPr>
        <w:rPr>
          <w:color w:val="auto"/>
        </w:rPr>
      </w:pPr>
      <w:r w:rsidRPr="0062415C">
        <w:rPr>
          <w:color w:val="auto"/>
        </w:rPr>
        <w:t xml:space="preserve">O el beneficiario demuestra que realiza los mayores esfuerzos para implementar prácticas relevantes sobre eficiencia energética en los equipos e instalaciones. </w:t>
      </w:r>
    </w:p>
    <w:p w14:paraId="5CA3BDA9" w14:textId="77777777" w:rsidR="00F01C3D" w:rsidRPr="0062415C" w:rsidRDefault="00F01C3D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>Documentos justificativos:</w:t>
      </w:r>
    </w:p>
    <w:p w14:paraId="491E7AE7" w14:textId="77777777" w:rsidR="00F01C3D" w:rsidRPr="0062415C" w:rsidRDefault="00F01C3D" w:rsidP="00F01C3D">
      <w:pPr>
        <w:pStyle w:val="Default"/>
        <w:numPr>
          <w:ilvl w:val="0"/>
          <w:numId w:val="20"/>
        </w:numPr>
        <w:rPr>
          <w:color w:val="auto"/>
        </w:rPr>
      </w:pPr>
      <w:r w:rsidRPr="0062415C">
        <w:rPr>
          <w:color w:val="auto"/>
        </w:rPr>
        <w:t>Documento de adhesión al Código de conducta europeo sobre eficiencia energética de centros de datos por parte del fabricante de equipos u operador o proveedor de servicios</w:t>
      </w:r>
    </w:p>
    <w:p w14:paraId="75FDCA0D" w14:textId="77777777" w:rsidR="00F01C3D" w:rsidRPr="0062415C" w:rsidRDefault="00F01C3D" w:rsidP="00F01C3D">
      <w:pPr>
        <w:pStyle w:val="Default"/>
        <w:numPr>
          <w:ilvl w:val="0"/>
          <w:numId w:val="20"/>
        </w:numPr>
        <w:rPr>
          <w:color w:val="auto"/>
        </w:rPr>
      </w:pPr>
      <w:r w:rsidRPr="0062415C">
        <w:rPr>
          <w:color w:val="auto"/>
        </w:rPr>
        <w:t xml:space="preserve">Informe sobre implementación de mejores prácticas en materia de gestión de la energía en Instalaciones e Infraestructuras de centros de datos, </w:t>
      </w:r>
      <w:proofErr w:type="spellStart"/>
      <w:r w:rsidRPr="0062415C">
        <w:rPr>
          <w:color w:val="auto"/>
        </w:rPr>
        <w:t>Doc</w:t>
      </w:r>
      <w:proofErr w:type="spellEnd"/>
      <w:r w:rsidRPr="0062415C">
        <w:rPr>
          <w:color w:val="auto"/>
        </w:rPr>
        <w:t xml:space="preserve"> CEN-CENELEC CLC TR 50600-99- 1 del operador o proveedor de servicios</w:t>
      </w:r>
    </w:p>
    <w:p w14:paraId="5E718B1E" w14:textId="77777777" w:rsidR="00F01C3D" w:rsidRPr="0062415C" w:rsidRDefault="00F01C3D" w:rsidP="00F01C3D">
      <w:pPr>
        <w:pStyle w:val="Default"/>
        <w:numPr>
          <w:ilvl w:val="0"/>
          <w:numId w:val="20"/>
        </w:numPr>
        <w:rPr>
          <w:color w:val="auto"/>
        </w:rPr>
      </w:pPr>
      <w:r w:rsidRPr="0062415C">
        <w:rPr>
          <w:color w:val="auto"/>
        </w:rPr>
        <w:t>Documentación técnica de los equipos por el jefe de compras</w:t>
      </w:r>
    </w:p>
    <w:p w14:paraId="36F7350B" w14:textId="77777777" w:rsidR="00F01C3D" w:rsidRPr="0062415C" w:rsidRDefault="00F01C3D" w:rsidP="00F01C3D">
      <w:pPr>
        <w:pStyle w:val="Default"/>
        <w:numPr>
          <w:ilvl w:val="0"/>
          <w:numId w:val="20"/>
        </w:numPr>
        <w:rPr>
          <w:color w:val="auto"/>
        </w:rPr>
      </w:pPr>
      <w:r w:rsidRPr="0062415C">
        <w:rPr>
          <w:color w:val="auto"/>
        </w:rPr>
        <w:t xml:space="preserve">El cumplimiento del condicionante/s en cuestión se podrá/n justificar con uno o varios de los documentos propuestos como ejemplo. </w:t>
      </w:r>
    </w:p>
    <w:p w14:paraId="3DD9071F" w14:textId="79F5FB15" w:rsidR="004102A8" w:rsidRPr="0062415C" w:rsidRDefault="00F01C3D" w:rsidP="00F01C3D">
      <w:pPr>
        <w:pStyle w:val="Ttulo1"/>
      </w:pPr>
      <w:r w:rsidRPr="0062415C">
        <w:t>ECONOMÍA CIRCULAR PARA EQUIPOS DE BANDA ANCHA:</w:t>
      </w:r>
    </w:p>
    <w:p w14:paraId="49F311D1" w14:textId="77777777" w:rsidR="00111C6D" w:rsidRPr="0062415C" w:rsidRDefault="00111C6D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Se garantizará que los equipos adquiridos en el marco de esta actuación no contendrán las sustancias restringidas enumeradas en el anexo II de la Directiva 2011/65 / UE, excepto cuando los valores de concentración en peso en materiales homogéneos no superen los enumerados en dicho anexo. </w:t>
      </w:r>
    </w:p>
    <w:p w14:paraId="0CFF6BCD" w14:textId="77777777" w:rsidR="00111C6D" w:rsidRPr="0062415C" w:rsidRDefault="00111C6D" w:rsidP="00F01C3D">
      <w:pPr>
        <w:pStyle w:val="Default"/>
        <w:rPr>
          <w:color w:val="auto"/>
        </w:rPr>
      </w:pPr>
      <w:r w:rsidRPr="0062415C">
        <w:rPr>
          <w:color w:val="auto"/>
        </w:rPr>
        <w:t xml:space="preserve">Al final de su vida útil, el equipo se someterá a una preparación para operaciones de reutilización, recuperación o reciclaje, o un tratamiento adecuado, incluida la eliminación de todos los fluidos y un tratamiento selectivo de acuerdo con el Anexo VII de la Directiva 2012/19 / UE. </w:t>
      </w:r>
    </w:p>
    <w:p w14:paraId="3DD74807" w14:textId="77777777" w:rsidR="00111C6D" w:rsidRPr="0062415C" w:rsidRDefault="00111C6D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 xml:space="preserve">Documentos justificativos: </w:t>
      </w:r>
    </w:p>
    <w:p w14:paraId="06F302FF" w14:textId="77777777" w:rsidR="00111C6D" w:rsidRPr="0062415C" w:rsidRDefault="00111C6D" w:rsidP="00F01C3D">
      <w:pPr>
        <w:pStyle w:val="Default"/>
        <w:numPr>
          <w:ilvl w:val="0"/>
          <w:numId w:val="21"/>
        </w:numPr>
        <w:rPr>
          <w:color w:val="auto"/>
        </w:rPr>
      </w:pPr>
      <w:r w:rsidRPr="0062415C">
        <w:rPr>
          <w:color w:val="auto"/>
        </w:rPr>
        <w:t xml:space="preserve">Etiquetado de equipos respecto de requisitos de diseño ecológico </w:t>
      </w:r>
    </w:p>
    <w:p w14:paraId="33C6AAEF" w14:textId="77777777" w:rsidR="00111C6D" w:rsidRPr="0062415C" w:rsidRDefault="00111C6D" w:rsidP="00F01C3D">
      <w:pPr>
        <w:pStyle w:val="Default"/>
        <w:numPr>
          <w:ilvl w:val="0"/>
          <w:numId w:val="21"/>
        </w:numPr>
        <w:rPr>
          <w:color w:val="auto"/>
        </w:rPr>
      </w:pPr>
      <w:r w:rsidRPr="0062415C">
        <w:rPr>
          <w:color w:val="auto"/>
        </w:rPr>
        <w:t>Certificado de cumplimiento con la Directiva 2011/65 / UE respecto sustancias restringidas</w:t>
      </w:r>
    </w:p>
    <w:p w14:paraId="67985270" w14:textId="77777777" w:rsidR="00111C6D" w:rsidRPr="0062415C" w:rsidRDefault="00111C6D" w:rsidP="00F01C3D">
      <w:pPr>
        <w:pStyle w:val="Default"/>
        <w:numPr>
          <w:ilvl w:val="0"/>
          <w:numId w:val="21"/>
        </w:numPr>
        <w:rPr>
          <w:color w:val="auto"/>
        </w:rPr>
      </w:pPr>
      <w:r w:rsidRPr="0062415C">
        <w:rPr>
          <w:color w:val="auto"/>
        </w:rPr>
        <w:t xml:space="preserve">Declaración responsable sobre que el equipo se someterá a preparación para operaciones de reutilización, recuperación o reciclaje, o un tratamiento adecuado, de acuerdo con el Anexo VII de la Directiva 2012/19 / UE. </w:t>
      </w:r>
    </w:p>
    <w:p w14:paraId="1B30EA55" w14:textId="77777777" w:rsidR="00725B2C" w:rsidRPr="0062415C" w:rsidRDefault="00111C6D" w:rsidP="00725B2C">
      <w:pPr>
        <w:pStyle w:val="Ttulo2"/>
      </w:pPr>
      <w:r w:rsidRPr="0062415C">
        <w:t xml:space="preserve">Economía circulara para redes 5g </w:t>
      </w:r>
      <w:r w:rsidR="003B0629" w:rsidRPr="0062415C">
        <w:t>y centros de datos</w:t>
      </w:r>
    </w:p>
    <w:p w14:paraId="554C9A9E" w14:textId="3CDD91D8" w:rsidR="00111C6D" w:rsidRPr="0062415C" w:rsidRDefault="00111C6D" w:rsidP="00725B2C">
      <w:pPr>
        <w:pStyle w:val="Default"/>
        <w:rPr>
          <w:color w:val="auto"/>
        </w:rPr>
      </w:pPr>
      <w:r w:rsidRPr="0062415C">
        <w:rPr>
          <w:color w:val="auto"/>
        </w:rPr>
        <w:t xml:space="preserve">Los equipos IT que se adquieren para el desarrollo de la actuación han sido fabricados cumpliendo con toda la legislación nacional y europea, especialmente con: </w:t>
      </w:r>
    </w:p>
    <w:p w14:paraId="76D483F3" w14:textId="2604FB6B" w:rsidR="00111C6D" w:rsidRPr="0062415C" w:rsidRDefault="00111C6D" w:rsidP="00725B2C">
      <w:pPr>
        <w:pStyle w:val="Default"/>
        <w:numPr>
          <w:ilvl w:val="0"/>
          <w:numId w:val="25"/>
        </w:numPr>
        <w:rPr>
          <w:color w:val="auto"/>
        </w:rPr>
      </w:pPr>
      <w:r w:rsidRPr="0062415C">
        <w:rPr>
          <w:color w:val="auto"/>
        </w:rPr>
        <w:t xml:space="preserve">Los reglamentos derivados de la Directiva 2009/125/CE en los que se establecen los requisitos de diseño ecológico aplicables al equipo. </w:t>
      </w:r>
    </w:p>
    <w:p w14:paraId="51D6F856" w14:textId="046A77BD" w:rsidR="00111C6D" w:rsidRPr="0062415C" w:rsidRDefault="00111C6D" w:rsidP="00725B2C">
      <w:pPr>
        <w:pStyle w:val="Default"/>
        <w:numPr>
          <w:ilvl w:val="0"/>
          <w:numId w:val="25"/>
        </w:numPr>
        <w:rPr>
          <w:color w:val="auto"/>
        </w:rPr>
      </w:pPr>
      <w:r w:rsidRPr="0062415C">
        <w:rPr>
          <w:color w:val="auto"/>
        </w:rPr>
        <w:t xml:space="preserve">Anexo II de la Directiva 2011/65 / UE en cuanto a sustancias restringidas </w:t>
      </w:r>
    </w:p>
    <w:p w14:paraId="41FAAE4D" w14:textId="77777777" w:rsidR="003B0629" w:rsidRPr="0062415C" w:rsidRDefault="003B0629" w:rsidP="00F01C3D">
      <w:pPr>
        <w:pStyle w:val="Default"/>
        <w:rPr>
          <w:color w:val="auto"/>
          <w:u w:val="single"/>
        </w:rPr>
      </w:pPr>
      <w:r w:rsidRPr="0062415C">
        <w:rPr>
          <w:color w:val="auto"/>
          <w:u w:val="single"/>
        </w:rPr>
        <w:t>Documentos justificativos:</w:t>
      </w:r>
    </w:p>
    <w:p w14:paraId="446FCD52" w14:textId="77777777" w:rsidR="003B0629" w:rsidRPr="0062415C" w:rsidRDefault="003B0629" w:rsidP="00F01C3D">
      <w:pPr>
        <w:pStyle w:val="Default"/>
        <w:numPr>
          <w:ilvl w:val="0"/>
          <w:numId w:val="22"/>
        </w:numPr>
        <w:rPr>
          <w:color w:val="auto"/>
        </w:rPr>
      </w:pPr>
      <w:r w:rsidRPr="0062415C">
        <w:rPr>
          <w:color w:val="auto"/>
        </w:rPr>
        <w:t xml:space="preserve">Etiquetado de equipos respecto de requisitos de diseño ecológico por parte del fabricante </w:t>
      </w:r>
    </w:p>
    <w:p w14:paraId="670FA45E" w14:textId="77777777" w:rsidR="003B0629" w:rsidRPr="0062415C" w:rsidRDefault="003B0629" w:rsidP="00F01C3D">
      <w:pPr>
        <w:pStyle w:val="Default"/>
        <w:numPr>
          <w:ilvl w:val="0"/>
          <w:numId w:val="22"/>
        </w:numPr>
        <w:rPr>
          <w:color w:val="auto"/>
        </w:rPr>
      </w:pPr>
      <w:r w:rsidRPr="0062415C">
        <w:rPr>
          <w:color w:val="auto"/>
        </w:rPr>
        <w:t xml:space="preserve">Certificado de cumplimiento con la Directiva 2011/65 / UE respecto sustancias restringidas </w:t>
      </w:r>
    </w:p>
    <w:p w14:paraId="47B4936D" w14:textId="77777777" w:rsidR="009A3F17" w:rsidRPr="0062415C" w:rsidRDefault="009A3F17" w:rsidP="00F01C3D">
      <w:pPr>
        <w:pStyle w:val="Default"/>
        <w:numPr>
          <w:ilvl w:val="0"/>
          <w:numId w:val="22"/>
        </w:numPr>
        <w:rPr>
          <w:color w:val="auto"/>
        </w:rPr>
      </w:pPr>
      <w:r w:rsidRPr="0062415C">
        <w:rPr>
          <w:color w:val="auto"/>
        </w:rPr>
        <w:t>Informe de cumplimiento de la norma ISO 20887 respecto de circularida</w:t>
      </w:r>
      <w:r w:rsidR="006E2C2C" w:rsidRPr="0062415C">
        <w:rPr>
          <w:color w:val="auto"/>
        </w:rPr>
        <w:t>d</w:t>
      </w:r>
      <w:r w:rsidRPr="0062415C">
        <w:rPr>
          <w:color w:val="auto"/>
        </w:rPr>
        <w:t xml:space="preserve"> en diseño y construcción de edificios.</w:t>
      </w:r>
    </w:p>
    <w:p w14:paraId="166A1C8F" w14:textId="77777777" w:rsidR="009A3F17" w:rsidRPr="0062415C" w:rsidRDefault="009A3F17" w:rsidP="00F01C3D">
      <w:pPr>
        <w:pStyle w:val="Default"/>
        <w:numPr>
          <w:ilvl w:val="0"/>
          <w:numId w:val="22"/>
        </w:numPr>
        <w:rPr>
          <w:color w:val="auto"/>
        </w:rPr>
      </w:pPr>
      <w:r w:rsidRPr="0062415C">
        <w:rPr>
          <w:color w:val="auto"/>
        </w:rPr>
        <w:t>Informe de cumplimiento de Protocolo de gestión de residuos de construcción y demolición de la UE y RD 105/2008 sobre producción y gestión de residuos.</w:t>
      </w:r>
    </w:p>
    <w:p w14:paraId="5AC9E740" w14:textId="77777777" w:rsidR="009A3F17" w:rsidRPr="0062415C" w:rsidRDefault="009A3F17" w:rsidP="00F01C3D">
      <w:pPr>
        <w:pStyle w:val="Default"/>
        <w:numPr>
          <w:ilvl w:val="0"/>
          <w:numId w:val="22"/>
        </w:numPr>
        <w:rPr>
          <w:color w:val="auto"/>
        </w:rPr>
      </w:pPr>
      <w:r w:rsidRPr="0062415C">
        <w:rPr>
          <w:color w:val="auto"/>
        </w:rPr>
        <w:t xml:space="preserve">Informe de cumplimiento sobre no </w:t>
      </w:r>
      <w:r w:rsidR="006E2C2C" w:rsidRPr="0062415C">
        <w:rPr>
          <w:color w:val="auto"/>
        </w:rPr>
        <w:t>utilización de amianto ni sustan</w:t>
      </w:r>
      <w:r w:rsidRPr="0062415C">
        <w:rPr>
          <w:color w:val="auto"/>
        </w:rPr>
        <w:t>cias tóxicas que figuran en el anexo XIV del Reglamento (CE) 1907/2006</w:t>
      </w:r>
    </w:p>
    <w:sectPr w:rsidR="009A3F17" w:rsidRPr="006241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568E0"/>
    <w:multiLevelType w:val="hybridMultilevel"/>
    <w:tmpl w:val="023A15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C9D3B8"/>
    <w:multiLevelType w:val="hybridMultilevel"/>
    <w:tmpl w:val="EA1A53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4AEE2C"/>
    <w:multiLevelType w:val="hybridMultilevel"/>
    <w:tmpl w:val="D61A03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628F83"/>
    <w:multiLevelType w:val="hybridMultilevel"/>
    <w:tmpl w:val="4BC880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BB3C33"/>
    <w:multiLevelType w:val="hybridMultilevel"/>
    <w:tmpl w:val="DC1CA70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F41C9"/>
    <w:multiLevelType w:val="hybridMultilevel"/>
    <w:tmpl w:val="ED1C018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DA9"/>
    <w:multiLevelType w:val="hybridMultilevel"/>
    <w:tmpl w:val="EB70DBD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C6712"/>
    <w:multiLevelType w:val="hybridMultilevel"/>
    <w:tmpl w:val="F7E224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3052D"/>
    <w:multiLevelType w:val="hybridMultilevel"/>
    <w:tmpl w:val="8574428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7F0E"/>
    <w:multiLevelType w:val="hybridMultilevel"/>
    <w:tmpl w:val="3060399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B0B52"/>
    <w:multiLevelType w:val="hybridMultilevel"/>
    <w:tmpl w:val="D6D08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337D1"/>
    <w:multiLevelType w:val="hybridMultilevel"/>
    <w:tmpl w:val="00A0403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362AC"/>
    <w:multiLevelType w:val="hybridMultilevel"/>
    <w:tmpl w:val="41B063B0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12C99"/>
    <w:multiLevelType w:val="hybridMultilevel"/>
    <w:tmpl w:val="3FB6AD3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5128D"/>
    <w:multiLevelType w:val="hybridMultilevel"/>
    <w:tmpl w:val="7CB8376A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274D4"/>
    <w:multiLevelType w:val="hybridMultilevel"/>
    <w:tmpl w:val="A3C8D338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46174"/>
    <w:multiLevelType w:val="hybridMultilevel"/>
    <w:tmpl w:val="CB9EE8F0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C1EF7"/>
    <w:multiLevelType w:val="hybridMultilevel"/>
    <w:tmpl w:val="F6964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7785DFC"/>
    <w:multiLevelType w:val="hybridMultilevel"/>
    <w:tmpl w:val="CAC4789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A5542"/>
    <w:multiLevelType w:val="hybridMultilevel"/>
    <w:tmpl w:val="2982C3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70277"/>
    <w:multiLevelType w:val="hybridMultilevel"/>
    <w:tmpl w:val="81BCA07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55461"/>
    <w:multiLevelType w:val="hybridMultilevel"/>
    <w:tmpl w:val="99468E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7785D"/>
    <w:multiLevelType w:val="hybridMultilevel"/>
    <w:tmpl w:val="8EF4A40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C211C"/>
    <w:multiLevelType w:val="hybridMultilevel"/>
    <w:tmpl w:val="24DC8412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B2EBE"/>
    <w:multiLevelType w:val="hybridMultilevel"/>
    <w:tmpl w:val="B53E99E8"/>
    <w:lvl w:ilvl="0" w:tplc="713C8ED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065933">
    <w:abstractNumId w:val="2"/>
  </w:num>
  <w:num w:numId="2" w16cid:durableId="1907569520">
    <w:abstractNumId w:val="0"/>
  </w:num>
  <w:num w:numId="3" w16cid:durableId="1353335342">
    <w:abstractNumId w:val="17"/>
  </w:num>
  <w:num w:numId="4" w16cid:durableId="911358056">
    <w:abstractNumId w:val="3"/>
  </w:num>
  <w:num w:numId="5" w16cid:durableId="1544563504">
    <w:abstractNumId w:val="1"/>
  </w:num>
  <w:num w:numId="6" w16cid:durableId="2079592208">
    <w:abstractNumId w:val="7"/>
  </w:num>
  <w:num w:numId="7" w16cid:durableId="187529703">
    <w:abstractNumId w:val="20"/>
  </w:num>
  <w:num w:numId="8" w16cid:durableId="536895285">
    <w:abstractNumId w:val="13"/>
  </w:num>
  <w:num w:numId="9" w16cid:durableId="2146923159">
    <w:abstractNumId w:val="21"/>
  </w:num>
  <w:num w:numId="10" w16cid:durableId="129132115">
    <w:abstractNumId w:val="10"/>
  </w:num>
  <w:num w:numId="11" w16cid:durableId="218781700">
    <w:abstractNumId w:val="19"/>
  </w:num>
  <w:num w:numId="12" w16cid:durableId="1359815343">
    <w:abstractNumId w:val="18"/>
  </w:num>
  <w:num w:numId="13" w16cid:durableId="1748377502">
    <w:abstractNumId w:val="23"/>
  </w:num>
  <w:num w:numId="14" w16cid:durableId="1575428870">
    <w:abstractNumId w:val="16"/>
  </w:num>
  <w:num w:numId="15" w16cid:durableId="242644120">
    <w:abstractNumId w:val="9"/>
  </w:num>
  <w:num w:numId="16" w16cid:durableId="633759308">
    <w:abstractNumId w:val="12"/>
  </w:num>
  <w:num w:numId="17" w16cid:durableId="24528256">
    <w:abstractNumId w:val="5"/>
  </w:num>
  <w:num w:numId="18" w16cid:durableId="937058879">
    <w:abstractNumId w:val="15"/>
  </w:num>
  <w:num w:numId="19" w16cid:durableId="1862545387">
    <w:abstractNumId w:val="24"/>
  </w:num>
  <w:num w:numId="20" w16cid:durableId="903224644">
    <w:abstractNumId w:val="4"/>
  </w:num>
  <w:num w:numId="21" w16cid:durableId="457725888">
    <w:abstractNumId w:val="8"/>
  </w:num>
  <w:num w:numId="22" w16cid:durableId="306935211">
    <w:abstractNumId w:val="22"/>
  </w:num>
  <w:num w:numId="23" w16cid:durableId="1498426355">
    <w:abstractNumId w:val="11"/>
  </w:num>
  <w:num w:numId="24" w16cid:durableId="711459397">
    <w:abstractNumId w:val="14"/>
  </w:num>
  <w:num w:numId="25" w16cid:durableId="8557325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2A8"/>
    <w:rsid w:val="00111C6D"/>
    <w:rsid w:val="00353EC9"/>
    <w:rsid w:val="003B0629"/>
    <w:rsid w:val="004102A8"/>
    <w:rsid w:val="00426267"/>
    <w:rsid w:val="00473DFC"/>
    <w:rsid w:val="005621E8"/>
    <w:rsid w:val="0062415C"/>
    <w:rsid w:val="006E2C2C"/>
    <w:rsid w:val="00725B2C"/>
    <w:rsid w:val="008551A3"/>
    <w:rsid w:val="00984CDD"/>
    <w:rsid w:val="009A3F17"/>
    <w:rsid w:val="00A57740"/>
    <w:rsid w:val="00CA7B94"/>
    <w:rsid w:val="00EB0C8F"/>
    <w:rsid w:val="00F0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4FEF"/>
  <w15:chartTrackingRefBased/>
  <w15:docId w15:val="{90233F4E-7511-4BE5-A160-8875FD06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01C3D"/>
    <w:pPr>
      <w:keepNext/>
      <w:keepLines/>
      <w:spacing w:before="360" w:after="480" w:line="240" w:lineRule="auto"/>
      <w:outlineLvl w:val="0"/>
    </w:pPr>
    <w:rPr>
      <w:rFonts w:asciiTheme="majorHAnsi" w:eastAsiaTheme="majorEastAsia" w:hAnsiTheme="majorHAnsi" w:cstheme="majorHAnsi"/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1C3D"/>
    <w:pPr>
      <w:keepLines/>
      <w:spacing w:before="120" w:after="24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01C3D"/>
    <w:pPr>
      <w:autoSpaceDE w:val="0"/>
      <w:autoSpaceDN w:val="0"/>
      <w:adjustRightInd w:val="0"/>
      <w:spacing w:before="120" w:after="240" w:line="240" w:lineRule="auto"/>
      <w:jc w:val="both"/>
    </w:pPr>
    <w:rPr>
      <w:rFonts w:asciiTheme="majorHAnsi" w:hAnsiTheme="majorHAnsi" w:cstheme="majorHAnsi"/>
      <w:color w:val="000000"/>
    </w:rPr>
  </w:style>
  <w:style w:type="paragraph" w:styleId="Ttulo">
    <w:name w:val="Title"/>
    <w:basedOn w:val="Normal"/>
    <w:next w:val="Normal"/>
    <w:link w:val="TtuloCar"/>
    <w:uiPriority w:val="10"/>
    <w:qFormat/>
    <w:rsid w:val="00F01C3D"/>
    <w:pPr>
      <w:pBdr>
        <w:bottom w:val="single" w:sz="4" w:space="1" w:color="auto"/>
      </w:pBdr>
      <w:spacing w:after="600" w:line="240" w:lineRule="auto"/>
      <w:contextualSpacing/>
    </w:pPr>
    <w:rPr>
      <w:rFonts w:asciiTheme="majorHAnsi" w:eastAsiaTheme="majorEastAsia" w:hAnsiTheme="majorHAnsi" w:cstheme="majorHAnsi"/>
      <w:spacing w:val="-10"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F01C3D"/>
    <w:rPr>
      <w:rFonts w:asciiTheme="majorHAnsi" w:eastAsiaTheme="majorEastAsia" w:hAnsiTheme="majorHAnsi" w:cstheme="majorHAnsi"/>
      <w:spacing w:val="-10"/>
      <w:kern w:val="28"/>
      <w:sz w:val="32"/>
      <w:szCs w:val="32"/>
    </w:rPr>
  </w:style>
  <w:style w:type="character" w:customStyle="1" w:styleId="Ttulo1Car">
    <w:name w:val="Título 1 Car"/>
    <w:basedOn w:val="Fuentedeprrafopredeter"/>
    <w:link w:val="Ttulo1"/>
    <w:uiPriority w:val="9"/>
    <w:rsid w:val="00F01C3D"/>
    <w:rPr>
      <w:rFonts w:asciiTheme="majorHAnsi" w:eastAsiaTheme="majorEastAsia" w:hAnsiTheme="majorHAnsi" w:cstheme="majorHAnsi"/>
      <w:b/>
      <w:bCs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F01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rrafodelista">
    <w:name w:val="List Paragraph"/>
    <w:basedOn w:val="Normal"/>
    <w:uiPriority w:val="34"/>
    <w:qFormat/>
    <w:rsid w:val="00F01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1632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 de Asturias</Company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Óscar Cuadrado Méndez</cp:lastModifiedBy>
  <cp:revision>5</cp:revision>
  <dcterms:created xsi:type="dcterms:W3CDTF">2026-01-27T09:45:00Z</dcterms:created>
  <dcterms:modified xsi:type="dcterms:W3CDTF">2026-01-27T14:11:00Z</dcterms:modified>
</cp:coreProperties>
</file>